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EEA8" w14:textId="292F8B3D" w:rsidR="00D8546D" w:rsidRDefault="00F24C67" w:rsidP="0062188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人工智慧基本法草案修正動議</w:t>
      </w:r>
    </w:p>
    <w:tbl>
      <w:tblPr>
        <w:tblW w:w="5472" w:type="pct"/>
        <w:tblBorders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7"/>
      </w:tblGrid>
      <w:tr w:rsidR="003A2DB0" w:rsidRPr="00621888" w14:paraId="40557F61" w14:textId="77777777" w:rsidTr="00DF543A">
        <w:tc>
          <w:tcPr>
            <w:tcW w:w="9057" w:type="dxa"/>
            <w:tcBorders>
              <w:top w:val="nil"/>
            </w:tcBorders>
            <w:shd w:val="clear" w:color="auto" w:fill="auto"/>
          </w:tcPr>
          <w:p w14:paraId="42712705" w14:textId="1D2E80F1" w:rsidR="003A2DB0" w:rsidRPr="00621888" w:rsidRDefault="003A2DB0" w:rsidP="00621888">
            <w:pPr>
              <w:kinsoku w:val="0"/>
              <w:overflowPunct w:val="0"/>
              <w:spacing w:line="315" w:lineRule="exact"/>
              <w:ind w:leftChars="50" w:left="120" w:rightChars="50" w:right="120"/>
              <w:jc w:val="distribute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366500" wp14:editId="58324FD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-8890</wp:posOffset>
                      </wp:positionV>
                      <wp:extent cx="5814060" cy="0"/>
                      <wp:effectExtent l="17145" t="18415" r="17145" b="1016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DE695" id="直線接點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7pt" to="455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" strokeweight="1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條文</w:t>
            </w:r>
          </w:p>
        </w:tc>
      </w:tr>
      <w:tr w:rsidR="003A2DB0" w:rsidRPr="00621888" w14:paraId="7691C7B4" w14:textId="77777777" w:rsidTr="00DF543A">
        <w:tc>
          <w:tcPr>
            <w:tcW w:w="9057" w:type="dxa"/>
            <w:shd w:val="clear" w:color="auto" w:fill="auto"/>
          </w:tcPr>
          <w:p w14:paraId="2B04737F" w14:textId="0626C60F" w:rsidR="003A2DB0" w:rsidRPr="00621888" w:rsidRDefault="003A2DB0" w:rsidP="00284785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第一條　為建設智慧國家，促進人工智慧研發與人工智慧產業發展，建構人工智慧安全應用環境，落實數位平權，保障人民基本權利，增進社會福</w:t>
            </w: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祉，提升國人生活品質，促進社會國家之永續發展，維護國家文化價值及提升國際競爭力，並確保技術應用符合社會倫理，特制定本法；本法未規定者，適用其他法律之規定。</w:t>
            </w:r>
          </w:p>
        </w:tc>
      </w:tr>
      <w:tr w:rsidR="003A2DB0" w:rsidRPr="00621888" w14:paraId="6E7E6DE8" w14:textId="77777777" w:rsidTr="00DF543A">
        <w:tc>
          <w:tcPr>
            <w:tcW w:w="9057" w:type="dxa"/>
            <w:shd w:val="clear" w:color="auto" w:fill="auto"/>
          </w:tcPr>
          <w:p w14:paraId="51A72D84" w14:textId="77777777" w:rsidR="003A2DB0" w:rsidRPr="00284785" w:rsidRDefault="003A2DB0" w:rsidP="00621888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第二條　本法所稱主管機關：在中央為國家科學及技術委員會；在地方為直轄市、縣（市）政府。</w:t>
            </w:r>
          </w:p>
          <w:p w14:paraId="1589F4CD" w14:textId="77777777" w:rsidR="003A2DB0" w:rsidRPr="00621888" w:rsidRDefault="003A2DB0" w:rsidP="00621888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本法所定事項，涉及各目的事業主管機關執掌者，由各目的事業主管機關辦理。</w:t>
            </w:r>
          </w:p>
        </w:tc>
      </w:tr>
      <w:tr w:rsidR="003A2DB0" w:rsidRPr="00621888" w14:paraId="26461AF5" w14:textId="77777777" w:rsidTr="00DF543A">
        <w:tc>
          <w:tcPr>
            <w:tcW w:w="9057" w:type="dxa"/>
            <w:shd w:val="clear" w:color="auto" w:fill="auto"/>
          </w:tcPr>
          <w:p w14:paraId="034B4E6D" w14:textId="2C246AA2" w:rsidR="003A2DB0" w:rsidRPr="00621888" w:rsidRDefault="003A2DB0" w:rsidP="00DA0A8B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第三條　</w:t>
            </w:r>
            <w:r w:rsidR="00011F09"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本法所稱人工智慧，係指以機器為基礎的系統，於不同程度之自主性運作下，並在部署後可能展現適應性，能夠透過感測或輸入，產生足以影響現實或虛擬環境之預測、內容、建議或決策，以達成人為定義的一系列目的。</w:t>
            </w:r>
          </w:p>
        </w:tc>
      </w:tr>
      <w:tr w:rsidR="003A2DB0" w:rsidRPr="00621888" w14:paraId="36E6C5D0" w14:textId="77777777" w:rsidTr="00DF543A">
        <w:tc>
          <w:tcPr>
            <w:tcW w:w="9057" w:type="dxa"/>
            <w:shd w:val="clear" w:color="auto" w:fill="auto"/>
          </w:tcPr>
          <w:p w14:paraId="0DF97B75" w14:textId="3D3B2643" w:rsidR="003A2DB0" w:rsidRPr="00745880" w:rsidRDefault="003A2DB0" w:rsidP="00745880">
            <w:pPr>
              <w:spacing w:line="315" w:lineRule="exact"/>
              <w:ind w:leftChars="50" w:left="33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第四條　政府推動人工智慧之研發與應用，應在兼顧社會公</w:t>
            </w:r>
            <w:r w:rsidR="00284785">
              <w:rPr>
                <w:rFonts w:hint="eastAsia"/>
                <w:sz w:val="21"/>
                <w:szCs w:val="21"/>
              </w:rPr>
              <w:t>益、</w:t>
            </w:r>
            <w:r w:rsidRPr="00745880">
              <w:rPr>
                <w:rFonts w:hint="eastAsia"/>
                <w:sz w:val="21"/>
                <w:szCs w:val="21"/>
              </w:rPr>
              <w:t>數位平權</w:t>
            </w:r>
            <w:r w:rsidR="00284785">
              <w:rPr>
                <w:rFonts w:hint="eastAsia"/>
                <w:sz w:val="21"/>
                <w:szCs w:val="21"/>
              </w:rPr>
              <w:t>、促進創新研發與強化國家競爭力</w:t>
            </w:r>
            <w:r w:rsidRPr="00745880">
              <w:rPr>
                <w:rFonts w:hint="eastAsia"/>
                <w:sz w:val="21"/>
                <w:szCs w:val="21"/>
              </w:rPr>
              <w:t>之前提下，發展良善治理與基礎建設，並遵循下列原則：</w:t>
            </w:r>
          </w:p>
          <w:p w14:paraId="3701E3DD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一、永續發展與福祉：應兼顧社會公平及環境永續。提供適當之教育及培訓，降低可能之數位落差，使國民適應人工智慧帶來之變革。</w:t>
            </w:r>
          </w:p>
          <w:p w14:paraId="5E8F5D24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二、人類自主：應以支持人類自主權、尊重人格權等人類基本權利與文化價值，並允許人類監督，落實以人為本並尊重法治及民主價值觀。</w:t>
            </w:r>
          </w:p>
          <w:p w14:paraId="3CF50F56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三、隱私保護與資料治理：應妥善保護個人資料隱私，避免資料外</w:t>
            </w:r>
            <w:proofErr w:type="gramStart"/>
            <w:r w:rsidRPr="00745880">
              <w:rPr>
                <w:rFonts w:hint="eastAsia"/>
                <w:sz w:val="21"/>
                <w:szCs w:val="21"/>
              </w:rPr>
              <w:t>洩</w:t>
            </w:r>
            <w:proofErr w:type="gramEnd"/>
            <w:r w:rsidRPr="00745880">
              <w:rPr>
                <w:rFonts w:hint="eastAsia"/>
                <w:sz w:val="21"/>
                <w:szCs w:val="21"/>
              </w:rPr>
              <w:t>風險，並採用資料最小化原則；同時促進非敏感資料之開放及再利用。</w:t>
            </w:r>
          </w:p>
          <w:p w14:paraId="205A273E" w14:textId="77777777" w:rsidR="003A2DB0" w:rsidRPr="00284785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四</w:t>
            </w:r>
            <w:r w:rsidRPr="00284785">
              <w:rPr>
                <w:rFonts w:hint="eastAsia"/>
                <w:sz w:val="21"/>
                <w:szCs w:val="21"/>
              </w:rPr>
              <w:t>、智慧財產權之保護：人工智慧之發展及應用，應遵守智慧財產權相關條文，使其不受侵害。</w:t>
            </w:r>
          </w:p>
          <w:p w14:paraId="3DA03690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284785">
              <w:rPr>
                <w:rFonts w:hint="eastAsia"/>
                <w:sz w:val="21"/>
                <w:szCs w:val="21"/>
              </w:rPr>
              <w:t>五、</w:t>
            </w:r>
            <w:proofErr w:type="gramStart"/>
            <w:r w:rsidRPr="00284785">
              <w:rPr>
                <w:rFonts w:hint="eastAsia"/>
                <w:sz w:val="21"/>
                <w:szCs w:val="21"/>
              </w:rPr>
              <w:t>資安與</w:t>
            </w:r>
            <w:proofErr w:type="gramEnd"/>
            <w:r w:rsidRPr="00284785">
              <w:rPr>
                <w:rFonts w:hint="eastAsia"/>
                <w:sz w:val="21"/>
                <w:szCs w:val="21"/>
              </w:rPr>
              <w:t>安全：人工</w:t>
            </w:r>
            <w:r w:rsidRPr="00745880">
              <w:rPr>
                <w:rFonts w:hint="eastAsia"/>
                <w:sz w:val="21"/>
                <w:szCs w:val="21"/>
              </w:rPr>
              <w:t>智慧研發與應用過程，應</w:t>
            </w:r>
            <w:proofErr w:type="gramStart"/>
            <w:r w:rsidRPr="00745880">
              <w:rPr>
                <w:rFonts w:hint="eastAsia"/>
                <w:sz w:val="21"/>
                <w:szCs w:val="21"/>
              </w:rPr>
              <w:t>建立資安防護</w:t>
            </w:r>
            <w:proofErr w:type="gramEnd"/>
            <w:r w:rsidRPr="00745880">
              <w:rPr>
                <w:rFonts w:hint="eastAsia"/>
                <w:sz w:val="21"/>
                <w:szCs w:val="21"/>
              </w:rPr>
              <w:t>措施，防範安全威脅及攻擊，確保其系統之穩健性與安全性。</w:t>
            </w:r>
          </w:p>
          <w:p w14:paraId="4659FF44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六、透明與可解釋：人工智慧之產出應做適當資訊揭露或標記，以利評估可能風險，並瞭解對相關權益之影響，進而提升人工智慧可信任度。</w:t>
            </w:r>
          </w:p>
          <w:p w14:paraId="05A29C16" w14:textId="77777777" w:rsidR="003A2DB0" w:rsidRPr="00745880" w:rsidRDefault="003A2DB0" w:rsidP="00745880">
            <w:pPr>
              <w:spacing w:line="315" w:lineRule="exact"/>
              <w:ind w:leftChars="150" w:left="570" w:rightChars="50" w:right="120" w:hangingChars="100" w:hanging="210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七、公平與不歧視：人工智慧研發與應用過程中，應盡可能避免演算法產生偏差及歧視等風險，不應對特定群體造成歧視之結果。</w:t>
            </w:r>
          </w:p>
          <w:p w14:paraId="2BA49B14" w14:textId="3E2E029B" w:rsidR="003A2DB0" w:rsidRPr="00284785" w:rsidRDefault="003A2DB0" w:rsidP="00284785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sz w:val="21"/>
                <w:szCs w:val="21"/>
              </w:rPr>
            </w:pPr>
            <w:r w:rsidRPr="00745880">
              <w:rPr>
                <w:rFonts w:hint="eastAsia"/>
                <w:sz w:val="21"/>
                <w:szCs w:val="21"/>
              </w:rPr>
              <w:t>八、</w:t>
            </w:r>
            <w:proofErr w:type="gramStart"/>
            <w:r w:rsidRPr="00745880">
              <w:rPr>
                <w:rFonts w:hint="eastAsia"/>
                <w:sz w:val="21"/>
                <w:szCs w:val="21"/>
              </w:rPr>
              <w:t>問責</w:t>
            </w:r>
            <w:proofErr w:type="gramEnd"/>
            <w:r w:rsidRPr="00745880">
              <w:rPr>
                <w:rFonts w:hint="eastAsia"/>
                <w:sz w:val="21"/>
                <w:szCs w:val="21"/>
              </w:rPr>
              <w:t>：應確保承擔相應之責任，包含內部治理責任及外部社會責任。</w:t>
            </w:r>
          </w:p>
        </w:tc>
      </w:tr>
      <w:tr w:rsidR="003A2DB0" w:rsidRPr="00621888" w14:paraId="7BA3977D" w14:textId="77777777" w:rsidTr="00DF543A">
        <w:tc>
          <w:tcPr>
            <w:tcW w:w="9057" w:type="dxa"/>
            <w:shd w:val="clear" w:color="auto" w:fill="auto"/>
          </w:tcPr>
          <w:p w14:paraId="4E3F9068" w14:textId="4220919B" w:rsidR="003A2DB0" w:rsidRPr="00621888" w:rsidRDefault="003A2DB0" w:rsidP="00745880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D24F11" wp14:editId="3B3A2EC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-17780</wp:posOffset>
                      </wp:positionV>
                      <wp:extent cx="5814060" cy="0"/>
                      <wp:effectExtent l="12700" t="12065" r="12065" b="698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F0955" id="直線接點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1.4pt" to="455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" strokeweight="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第五條　人民無分性別、年齡、能力、地域、族群、宗教信仰、政治理念、社經地位及其他條件，接觸人工智慧之機會一律平等。對於原住民、身心障礙者及其他弱勢族群，應考慮其自主性及特殊性，依法令予以特別保障，並扶助其發展。</w:t>
            </w:r>
          </w:p>
        </w:tc>
      </w:tr>
      <w:tr w:rsidR="003A2DB0" w:rsidRPr="00621888" w14:paraId="2C186A95" w14:textId="77777777" w:rsidTr="00DF543A">
        <w:tc>
          <w:tcPr>
            <w:tcW w:w="9057" w:type="dxa"/>
            <w:shd w:val="clear" w:color="auto" w:fill="auto"/>
          </w:tcPr>
          <w:p w14:paraId="78104DED" w14:textId="5AB2E83D" w:rsidR="00E91919" w:rsidRPr="00621888" w:rsidRDefault="003A2DB0" w:rsidP="00284785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第六條　</w:t>
            </w: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應避免人工智慧之應用，有侵害人民生命、身體、自由或財產，破壞社會秩序或生態環境，或偏差、歧視、廣告不實、資訊誤導或造假等違反相關法規之情事。</w:t>
            </w:r>
          </w:p>
          <w:p w14:paraId="40F410B3" w14:textId="1AA721F6" w:rsidR="00D81FCA" w:rsidRDefault="00D81FCA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為強化對未成年人之保護，人工智慧產品或系統經中央目的事業主管機關</w:t>
            </w:r>
            <w:r w:rsid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會同數位發展部</w:t>
            </w:r>
            <w:r w:rsidRP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認定為高風險應用者，應明確標示注意事項或警語。</w:t>
            </w:r>
          </w:p>
          <w:p w14:paraId="2DE11C37" w14:textId="28904000" w:rsidR="003A2DB0" w:rsidRPr="00621888" w:rsidRDefault="00284785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數位發展部及其他相關機關應提供或建議評估驗證之工具或方法，以利各目的事業主管機關辦理前項事項。</w:t>
            </w:r>
          </w:p>
        </w:tc>
      </w:tr>
      <w:tr w:rsidR="003A2DB0" w:rsidRPr="00621888" w14:paraId="5D0AF0B9" w14:textId="77777777" w:rsidTr="00DF543A">
        <w:tc>
          <w:tcPr>
            <w:tcW w:w="9057" w:type="dxa"/>
            <w:shd w:val="clear" w:color="auto" w:fill="auto"/>
          </w:tcPr>
          <w:p w14:paraId="3FBD8DA7" w14:textId="77777777" w:rsidR="003A2DB0" w:rsidRPr="00284785" w:rsidRDefault="003A2DB0" w:rsidP="00745880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第七條　行政院應成立國家人工智慧戰略特別委員會，由行政院院長召集學者專家、人工智慧相關民間團體及產業代表、政務委員、相關機關首長或代表、直轄市及縣（市）政府首長組成，協調、推動及督導全國人工智慧事務，並訂定國家人工智慧發展綱領。</w:t>
            </w:r>
          </w:p>
          <w:p w14:paraId="65F009FF" w14:textId="77777777" w:rsidR="003A2DB0" w:rsidRPr="00284785" w:rsidRDefault="003A2DB0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>前項委員會每年至少召開會議一次，並審議國家人工智慧發展綱領；遇突發緊急或重大事件，應召開臨時會議。</w:t>
            </w:r>
          </w:p>
          <w:p w14:paraId="44BC5CAB" w14:textId="77777777" w:rsidR="003A2DB0" w:rsidRPr="00621888" w:rsidRDefault="003A2DB0" w:rsidP="00745880">
            <w:pPr>
              <w:kinsoku w:val="0"/>
              <w:overflowPunct w:val="0"/>
              <w:spacing w:line="32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284785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第一項委員會之幕僚作業，由國家科學及技術委員會辦理。</w:t>
            </w:r>
          </w:p>
        </w:tc>
      </w:tr>
      <w:tr w:rsidR="003A2DB0" w:rsidRPr="00621888" w14:paraId="08A4AF09" w14:textId="77777777" w:rsidTr="00DF543A">
        <w:tc>
          <w:tcPr>
            <w:tcW w:w="9057" w:type="dxa"/>
            <w:shd w:val="clear" w:color="auto" w:fill="auto"/>
          </w:tcPr>
          <w:p w14:paraId="07C1C5F9" w14:textId="4B2532EF" w:rsidR="003A2DB0" w:rsidRPr="00621888" w:rsidRDefault="003A2DB0" w:rsidP="00745880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>第八條　為加速建構具有我國特色，並符合國家人工智慧戰略之人工智慧，以確保我國數位主權，有效提升政府效能，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政府機關（構）應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積極推動之人工智慧布建及應用。</w:t>
            </w:r>
          </w:p>
        </w:tc>
      </w:tr>
      <w:tr w:rsidR="003A2DB0" w:rsidRPr="00621888" w14:paraId="7CB68876" w14:textId="77777777" w:rsidTr="00DF543A">
        <w:tc>
          <w:tcPr>
            <w:tcW w:w="9057" w:type="dxa"/>
            <w:shd w:val="clear" w:color="auto" w:fill="auto"/>
          </w:tcPr>
          <w:p w14:paraId="4DC25DCD" w14:textId="382884F3" w:rsidR="003A2DB0" w:rsidRDefault="003A2DB0" w:rsidP="0073119F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第九條　為提升國民對於人工智慧之知識與技能，政府應持續推動各級學校、產業、社會及公務機關（構）之人工智慧教育，並厚植國民之數位素養。</w:t>
            </w:r>
          </w:p>
          <w:p w14:paraId="30DBA2BE" w14:textId="20D81B3A" w:rsidR="004C6292" w:rsidRPr="00621888" w:rsidRDefault="004C6292" w:rsidP="0073119F">
            <w:pPr>
              <w:kinsoku w:val="0"/>
              <w:overflowPunct w:val="0"/>
              <w:spacing w:line="32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    </w:t>
            </w:r>
            <w:r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 xml:space="preserve">  </w:t>
            </w:r>
            <w:r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>中央教育主管機關應針對各級學校制定人工智慧使用與學習指引，並</w:t>
            </w:r>
            <w:r w:rsidR="005259DA"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>會同主管機關</w:t>
            </w:r>
            <w:r w:rsidRPr="004451D6">
              <w:rPr>
                <w:rFonts w:ascii="Times New Roman" w:eastAsia="細明體" w:hAnsi="Times New Roman" w:cs="Times New Roman" w:hint="eastAsia"/>
                <w:noProof/>
                <w:color w:val="000000" w:themeColor="text1"/>
                <w:sz w:val="21"/>
                <w:szCs w:val="24"/>
              </w:rPr>
              <w:t>推動相關產品或服務之設計與使用認證機制，以確保各教育階段學生之身心安全，並使其具有足夠之資訊判讀能力。</w:t>
            </w:r>
          </w:p>
        </w:tc>
      </w:tr>
      <w:tr w:rsidR="003A2DB0" w:rsidRPr="00621888" w14:paraId="014A3E85" w14:textId="77777777" w:rsidTr="00DF543A">
        <w:tc>
          <w:tcPr>
            <w:tcW w:w="9057" w:type="dxa"/>
            <w:shd w:val="clear" w:color="auto" w:fill="auto"/>
          </w:tcPr>
          <w:p w14:paraId="019E1A85" w14:textId="653A6691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0B76D1" wp14:editId="7CAA4E1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-17780</wp:posOffset>
                      </wp:positionV>
                      <wp:extent cx="5814060" cy="0"/>
                      <wp:effectExtent l="12700" t="12065" r="12065" b="698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6227D" id="直線接點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1.4pt" to="455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" strokeweight="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條　</w:t>
            </w:r>
            <w:r w:rsidR="00686872"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應落實人工智慧發展政策並鼓勵產官學界，就下列事項，積極進行跨域合作及國際交流：</w:t>
            </w:r>
          </w:p>
          <w:p w14:paraId="296C1957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一、促進人工智慧研發創新。</w:t>
            </w:r>
          </w:p>
          <w:p w14:paraId="3314DADA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二、重視人工智慧基本教育。</w:t>
            </w:r>
          </w:p>
          <w:p w14:paraId="421C9DAC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三、培育人工智慧專業人才。</w:t>
            </w:r>
          </w:p>
          <w:p w14:paraId="5ED9A1B7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四、推動人工智慧產業發展。</w:t>
            </w:r>
          </w:p>
          <w:p w14:paraId="5E1DE3E9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五、深化人工智慧產學合作。</w:t>
            </w:r>
          </w:p>
          <w:p w14:paraId="3BBD5A34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六、鼓勵人工智慧發展投資。</w:t>
            </w:r>
          </w:p>
          <w:p w14:paraId="6A3A60B1" w14:textId="7777777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七、建立資料中心、能源設備等有利於人工智慧發展之基礎設施。</w:t>
            </w:r>
          </w:p>
          <w:p w14:paraId="5C9C6467" w14:textId="7777777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57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八、其他人工智慧發展政策。</w:t>
            </w:r>
          </w:p>
        </w:tc>
      </w:tr>
      <w:tr w:rsidR="003A2DB0" w:rsidRPr="00621888" w14:paraId="52B49C1D" w14:textId="77777777" w:rsidTr="00DF543A">
        <w:tc>
          <w:tcPr>
            <w:tcW w:w="9057" w:type="dxa"/>
            <w:shd w:val="clear" w:color="auto" w:fill="auto"/>
          </w:tcPr>
          <w:p w14:paraId="184D36A1" w14:textId="70BE665E" w:rsidR="00D842EE" w:rsidRPr="00621888" w:rsidRDefault="003A2DB0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第十一條　</w:t>
            </w:r>
            <w:r w:rsidRPr="00B86E4F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中央政府應於國家財政能力範圍內，寬列預算，採取必要措施，持續確保經費符合推行人工智慧政策發展所需。</w:t>
            </w:r>
          </w:p>
        </w:tc>
      </w:tr>
      <w:tr w:rsidR="003A2DB0" w:rsidRPr="00621888" w14:paraId="0D79EB90" w14:textId="77777777" w:rsidTr="00DF543A">
        <w:tc>
          <w:tcPr>
            <w:tcW w:w="9057" w:type="dxa"/>
            <w:shd w:val="clear" w:color="auto" w:fill="auto"/>
          </w:tcPr>
          <w:p w14:paraId="75D5DEE5" w14:textId="7DE48DCB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第十二條　政府應積極推動人工智慧研發、應用及基礎建設，妥善規劃資源整體配置，並辦理人工智慧相關產業之補助、委託、出資、投資、獎勵、輔導，或提供租稅、金融等財政優惠措施。</w:t>
            </w:r>
          </w:p>
        </w:tc>
      </w:tr>
      <w:tr w:rsidR="003A2DB0" w:rsidRPr="00621888" w14:paraId="0701786E" w14:textId="77777777" w:rsidTr="00DF543A">
        <w:tc>
          <w:tcPr>
            <w:tcW w:w="9057" w:type="dxa"/>
            <w:shd w:val="clear" w:color="auto" w:fill="auto"/>
          </w:tcPr>
          <w:p w14:paraId="194EA4C5" w14:textId="536A1F08" w:rsidR="003A2DB0" w:rsidRPr="004451D6" w:rsidRDefault="003A2DB0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第十三條　</w:t>
            </w:r>
            <w:r w:rsidR="00686872"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於人工智慧開發、訓練、測試及驗證新興技術運作之影響時，提供合理使用、扶持及補助措施，並完善人工智慧研發及應用之法規。相關法規之解釋與適用，如與其他法規扞格，在符合本法第四條基本原則之前提下，應優先保障新興技術與服務之提供。如有必要，應修正其他法律。</w:t>
            </w:r>
          </w:p>
        </w:tc>
      </w:tr>
      <w:tr w:rsidR="003A2DB0" w:rsidRPr="00621888" w14:paraId="6EB87B51" w14:textId="77777777" w:rsidTr="00DF543A">
        <w:tc>
          <w:tcPr>
            <w:tcW w:w="9057" w:type="dxa"/>
            <w:shd w:val="clear" w:color="auto" w:fill="auto"/>
          </w:tcPr>
          <w:p w14:paraId="5E75D838" w14:textId="33251A9D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第十四條　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應基於公私協力原則，積極與民間共同推動人工智慧之創新運用。</w:t>
            </w:r>
          </w:p>
        </w:tc>
      </w:tr>
      <w:tr w:rsidR="003A2DB0" w:rsidRPr="00621888" w14:paraId="47DC685E" w14:textId="77777777" w:rsidTr="00DF543A">
        <w:tc>
          <w:tcPr>
            <w:tcW w:w="9057" w:type="dxa"/>
            <w:shd w:val="clear" w:color="auto" w:fill="auto"/>
          </w:tcPr>
          <w:p w14:paraId="365FCE35" w14:textId="4888C53A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第十五條　政府應本於資料具有永久性、可加解密之再利用性，以及價值可追溯紀錄之特性，建立資料開放、共享及再利用機制，以提升人工智慧使用資料之可利用性，並定期檢視與調整相關法令及規範。</w:t>
            </w:r>
          </w:p>
          <w:p w14:paraId="1476A3CB" w14:textId="21A4C5D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政府應致力提升我國人工智慧使用資料之品質與數量，確保訓練結果足以展現國家多元文化價值與維護智慧財產權。</w:t>
            </w:r>
          </w:p>
        </w:tc>
      </w:tr>
      <w:tr w:rsidR="003A2DB0" w:rsidRPr="00621888" w14:paraId="2EAF494D" w14:textId="77777777" w:rsidTr="00DF543A">
        <w:tc>
          <w:tcPr>
            <w:tcW w:w="9057" w:type="dxa"/>
            <w:shd w:val="clear" w:color="auto" w:fill="auto"/>
          </w:tcPr>
          <w:p w14:paraId="6D9CC493" w14:textId="3BD04974" w:rsidR="00D842EE" w:rsidRPr="00621888" w:rsidRDefault="003A2DB0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第十六條　個人資料保護主管機關應協助各目的事業主管機關，在人工智慧研發及應用過程，避免不必要之個人資料蒐集、處理或利用，並促進個人資料保護納入預設及設計相關措施或機制，以維護當事人權益。</w:t>
            </w:r>
          </w:p>
        </w:tc>
      </w:tr>
      <w:tr w:rsidR="003A2DB0" w:rsidRPr="00621888" w14:paraId="3AEF58A4" w14:textId="77777777" w:rsidTr="00DF543A">
        <w:tc>
          <w:tcPr>
            <w:tcW w:w="9057" w:type="dxa"/>
            <w:shd w:val="clear" w:color="auto" w:fill="auto"/>
          </w:tcPr>
          <w:p w14:paraId="159BDD5A" w14:textId="20898DEE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第十七條　政府應積極運用人工智慧確保勞動者之勞動權益。</w:t>
            </w:r>
          </w:p>
          <w:p w14:paraId="2A35CC16" w14:textId="77777777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政府應積極弭平人工智慧發展所造成之技能落差，提升勞動參與，保障經濟安全，並落實尊嚴勞動。</w:t>
            </w:r>
          </w:p>
          <w:p w14:paraId="17877906" w14:textId="409EACE6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>政府應就人工智慧利用所致之失業者，依其工作能力予以輔導就業。</w:t>
            </w:r>
          </w:p>
        </w:tc>
      </w:tr>
      <w:tr w:rsidR="003A2DB0" w:rsidRPr="00621888" w14:paraId="2252582C" w14:textId="77777777" w:rsidTr="00DF543A">
        <w:tc>
          <w:tcPr>
            <w:tcW w:w="9057" w:type="dxa"/>
            <w:shd w:val="clear" w:color="auto" w:fill="auto"/>
          </w:tcPr>
          <w:p w14:paraId="0B28590F" w14:textId="49AE97B8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lastRenderedPageBreak/>
              <w:t xml:space="preserve">第十八條　</w:t>
            </w:r>
            <w:r w:rsidR="00011F09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數位發展部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應協調其他相關機關參考國際標準或規範，推動與國際介接之人工智慧風險分類框架，並定期檢討之。</w:t>
            </w:r>
          </w:p>
          <w:p w14:paraId="25ED40E2" w14:textId="225BD184" w:rsidR="003A2DB0" w:rsidRPr="00621888" w:rsidRDefault="003A2DB0" w:rsidP="004451D6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各目的事業主管機關得循前項風險分類框架，訂定其主管業務之風險分類規範。</w:t>
            </w:r>
          </w:p>
        </w:tc>
      </w:tr>
      <w:tr w:rsidR="003A2DB0" w:rsidRPr="00621888" w14:paraId="7B4BE1C8" w14:textId="77777777" w:rsidTr="00DF543A">
        <w:tc>
          <w:tcPr>
            <w:tcW w:w="9057" w:type="dxa"/>
            <w:shd w:val="clear" w:color="auto" w:fill="auto"/>
          </w:tcPr>
          <w:p w14:paraId="132E40C0" w14:textId="3DC8B451" w:rsidR="003A2DB0" w:rsidRPr="004451D6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73119F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第十</w:t>
            </w:r>
            <w:r w:rsid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九</w:t>
            </w:r>
            <w:r w:rsidRPr="0073119F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　政府應依人工智慧風險</w:t>
            </w:r>
            <w:r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分類，透過標準、驗證、檢測、標記、揭露、溯源或問責等機制，提升人工智慧應用可信任度，建立人工智慧應用條件、責任、救濟、補償或保險等相關規範，明確責任歸屬與歸責條件。</w:t>
            </w:r>
          </w:p>
          <w:p w14:paraId="0473A7E7" w14:textId="1224E295" w:rsidR="003A2DB0" w:rsidRPr="00621888" w:rsidRDefault="00011F09" w:rsidP="004451D6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 xml:space="preserve">      </w:t>
            </w:r>
            <w:r w:rsidR="003A2DB0" w:rsidRP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人工智慧技術開發與研究，於應用前之任何活動，除應遵守第四條之基本原則外，不適用前項應用責任相關規範，以利技術創新發展。</w:t>
            </w:r>
          </w:p>
        </w:tc>
      </w:tr>
      <w:tr w:rsidR="003A2DB0" w:rsidRPr="00621888" w14:paraId="3F3D977B" w14:textId="77777777" w:rsidTr="00DF543A">
        <w:tc>
          <w:tcPr>
            <w:tcW w:w="9057" w:type="dxa"/>
            <w:shd w:val="clear" w:color="auto" w:fill="auto"/>
          </w:tcPr>
          <w:p w14:paraId="4C0D4D80" w14:textId="5616A9D6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</w:t>
            </w:r>
            <w:r w:rsid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二十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　政府應於本法施行後，依本法規定檢討及調整所主管之執掌、業務及法規，以落實本法之目的。</w:t>
            </w:r>
          </w:p>
          <w:p w14:paraId="35630636" w14:textId="77777777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150" w:left="360" w:rightChars="50" w:right="120" w:firstLineChars="200" w:firstLine="42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前項法規制（訂）定或修正前，既有法規未有規定者，由中央目的事業主管機關偕同中央主管機關，依本法規定解釋、適用之。</w:t>
            </w:r>
          </w:p>
        </w:tc>
      </w:tr>
      <w:tr w:rsidR="003A2DB0" w:rsidRPr="00621888" w14:paraId="1A0CA3C9" w14:textId="77777777" w:rsidTr="00DF543A">
        <w:tc>
          <w:tcPr>
            <w:tcW w:w="9057" w:type="dxa"/>
            <w:shd w:val="clear" w:color="auto" w:fill="auto"/>
          </w:tcPr>
          <w:p w14:paraId="38E916B6" w14:textId="7BFAAF58" w:rsidR="003A2DB0" w:rsidRPr="00621888" w:rsidRDefault="003A2DB0" w:rsidP="0073119F">
            <w:pPr>
              <w:kinsoku w:val="0"/>
              <w:overflowPunct w:val="0"/>
              <w:spacing w:line="315" w:lineRule="exact"/>
              <w:ind w:leftChars="50" w:left="330" w:rightChars="50" w:right="120" w:hangingChars="100" w:hanging="210"/>
              <w:jc w:val="both"/>
              <w:textAlignment w:val="center"/>
              <w:rPr>
                <w:rFonts w:ascii="Times New Roman" w:eastAsia="細明體" w:hAnsi="Times New Roman" w:cs="Times New Roman"/>
                <w:noProof/>
                <w:sz w:val="21"/>
                <w:szCs w:val="24"/>
              </w:rPr>
            </w:pP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D9ED4C" wp14:editId="0C8DEF8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217805</wp:posOffset>
                      </wp:positionV>
                      <wp:extent cx="5814060" cy="0"/>
                      <wp:effectExtent l="14605" t="9525" r="10160" b="952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ADBCA" id="直線接點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7.15pt" to="455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" strokeweight="1.5pt"/>
                  </w:pict>
                </mc:Fallback>
              </mc:AlternateConten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第二十</w:t>
            </w:r>
            <w:r w:rsidR="004451D6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一</w:t>
            </w:r>
            <w:r w:rsidRPr="00621888">
              <w:rPr>
                <w:rFonts w:ascii="Times New Roman" w:eastAsia="細明體" w:hAnsi="Times New Roman" w:cs="Times New Roman" w:hint="eastAsia"/>
                <w:noProof/>
                <w:sz w:val="21"/>
                <w:szCs w:val="24"/>
              </w:rPr>
              <w:t>條　本法自公布之日起施行。</w:t>
            </w:r>
          </w:p>
        </w:tc>
      </w:tr>
    </w:tbl>
    <w:p w14:paraId="71F40A8B" w14:textId="77777777" w:rsidR="00621888" w:rsidRPr="00621888" w:rsidRDefault="00621888" w:rsidP="00621888">
      <w:pPr>
        <w:kinsoku w:val="0"/>
        <w:overflowPunct w:val="0"/>
        <w:jc w:val="both"/>
        <w:textAlignment w:val="center"/>
        <w:rPr>
          <w:rFonts w:ascii="Times New Roman" w:eastAsia="細明體" w:hAnsi="Times New Roman" w:cs="Times New Roman"/>
          <w:noProof/>
          <w:sz w:val="21"/>
          <w:szCs w:val="24"/>
        </w:rPr>
      </w:pPr>
    </w:p>
    <w:p w14:paraId="01DDDF96" w14:textId="60EB9669" w:rsidR="00621888" w:rsidRPr="00621888" w:rsidRDefault="00F24C67" w:rsidP="00621888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提案人：</w:t>
      </w:r>
    </w:p>
    <w:sectPr w:rsidR="00621888" w:rsidRPr="00621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BA58" w14:textId="77777777" w:rsidR="00690C38" w:rsidRDefault="00690C38" w:rsidP="003D708A">
      <w:r>
        <w:separator/>
      </w:r>
    </w:p>
  </w:endnote>
  <w:endnote w:type="continuationSeparator" w:id="0">
    <w:p w14:paraId="073BBC1E" w14:textId="77777777" w:rsidR="00690C38" w:rsidRDefault="00690C38" w:rsidP="003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E6BF" w14:textId="77777777" w:rsidR="00690C38" w:rsidRDefault="00690C38" w:rsidP="003D708A">
      <w:r>
        <w:separator/>
      </w:r>
    </w:p>
  </w:footnote>
  <w:footnote w:type="continuationSeparator" w:id="0">
    <w:p w14:paraId="667EB8DD" w14:textId="77777777" w:rsidR="00690C38" w:rsidRDefault="00690C38" w:rsidP="003D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88"/>
    <w:rsid w:val="00011F09"/>
    <w:rsid w:val="00284785"/>
    <w:rsid w:val="002A3D34"/>
    <w:rsid w:val="002E6145"/>
    <w:rsid w:val="00303A26"/>
    <w:rsid w:val="00342E16"/>
    <w:rsid w:val="00382C62"/>
    <w:rsid w:val="003A2DB0"/>
    <w:rsid w:val="003D2652"/>
    <w:rsid w:val="003D708A"/>
    <w:rsid w:val="004355C2"/>
    <w:rsid w:val="004451D6"/>
    <w:rsid w:val="004C6292"/>
    <w:rsid w:val="005259DA"/>
    <w:rsid w:val="00621888"/>
    <w:rsid w:val="00686872"/>
    <w:rsid w:val="00690C38"/>
    <w:rsid w:val="00705AA5"/>
    <w:rsid w:val="00731075"/>
    <w:rsid w:val="0073119F"/>
    <w:rsid w:val="00745880"/>
    <w:rsid w:val="007A4DFA"/>
    <w:rsid w:val="007B3291"/>
    <w:rsid w:val="008D3D2B"/>
    <w:rsid w:val="00924A6E"/>
    <w:rsid w:val="0097436B"/>
    <w:rsid w:val="009F7C92"/>
    <w:rsid w:val="00A34EAE"/>
    <w:rsid w:val="00B24A0D"/>
    <w:rsid w:val="00B86E4F"/>
    <w:rsid w:val="00CE0C94"/>
    <w:rsid w:val="00D164FC"/>
    <w:rsid w:val="00D409C1"/>
    <w:rsid w:val="00D77340"/>
    <w:rsid w:val="00D81FCA"/>
    <w:rsid w:val="00D842EE"/>
    <w:rsid w:val="00D8546D"/>
    <w:rsid w:val="00DA0A8B"/>
    <w:rsid w:val="00DF543A"/>
    <w:rsid w:val="00E170F3"/>
    <w:rsid w:val="00E91919"/>
    <w:rsid w:val="00EF3234"/>
    <w:rsid w:val="00F24C67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6FF2C"/>
  <w15:chartTrackingRefBased/>
  <w15:docId w15:val="{157FC807-3AAA-47BC-82A2-FA62EAA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8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31C2-F64D-4A29-95E2-F1F4D074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 正</dc:creator>
  <cp:keywords/>
  <dc:description/>
  <cp:lastModifiedBy>純 正</cp:lastModifiedBy>
  <cp:revision>2</cp:revision>
  <cp:lastPrinted>2025-07-31T08:15:00Z</cp:lastPrinted>
  <dcterms:created xsi:type="dcterms:W3CDTF">2025-07-31T08:25:00Z</dcterms:created>
  <dcterms:modified xsi:type="dcterms:W3CDTF">2025-07-31T08:25:00Z</dcterms:modified>
</cp:coreProperties>
</file>