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EEA8" w14:textId="5775879B" w:rsidR="00D8546D" w:rsidRDefault="00621888" w:rsidP="00621888">
      <w:pPr>
        <w:jc w:val="center"/>
        <w:rPr>
          <w:rFonts w:ascii="標楷體" w:eastAsia="標楷體" w:hAnsi="標楷體"/>
          <w:sz w:val="36"/>
          <w:szCs w:val="32"/>
        </w:rPr>
      </w:pPr>
      <w:r w:rsidRPr="00621888">
        <w:rPr>
          <w:rFonts w:ascii="標楷體" w:eastAsia="標楷體" w:hAnsi="標楷體" w:hint="eastAsia"/>
          <w:sz w:val="36"/>
          <w:szCs w:val="32"/>
        </w:rPr>
        <w:t>國民黨11個委員版本之彙整版</w:t>
      </w:r>
    </w:p>
    <w:tbl>
      <w:tblPr>
        <w:tblW w:w="5472" w:type="pct"/>
        <w:tblBorders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7"/>
      </w:tblGrid>
      <w:tr w:rsidR="003A2DB0" w:rsidRPr="00621888" w14:paraId="40557F61" w14:textId="77777777" w:rsidTr="00DF543A">
        <w:tc>
          <w:tcPr>
            <w:tcW w:w="9057" w:type="dxa"/>
            <w:tcBorders>
              <w:top w:val="nil"/>
            </w:tcBorders>
            <w:shd w:val="clear" w:color="auto" w:fill="auto"/>
          </w:tcPr>
          <w:p w14:paraId="42712705" w14:textId="1D2E80F1" w:rsidR="003A2DB0" w:rsidRPr="00621888" w:rsidRDefault="003A2DB0" w:rsidP="00621888">
            <w:pPr>
              <w:kinsoku w:val="0"/>
              <w:overflowPunct w:val="0"/>
              <w:spacing w:line="315" w:lineRule="exact"/>
              <w:ind w:leftChars="50" w:left="120" w:rightChars="50" w:right="120"/>
              <w:jc w:val="distribute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366500" wp14:editId="58324FD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-8890</wp:posOffset>
                      </wp:positionV>
                      <wp:extent cx="5814060" cy="0"/>
                      <wp:effectExtent l="17145" t="18415" r="17145" b="10160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40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DE695" id="直線接點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-.7pt" to="455.8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" strokeweight="1.5pt"/>
                  </w:pict>
                </mc:Fallback>
              </mc:AlternateContent>
            </w: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條文</w:t>
            </w:r>
          </w:p>
        </w:tc>
      </w:tr>
      <w:tr w:rsidR="003A2DB0" w:rsidRPr="00621888" w14:paraId="7691C7B4" w14:textId="77777777" w:rsidTr="00DF543A">
        <w:tc>
          <w:tcPr>
            <w:tcW w:w="9057" w:type="dxa"/>
            <w:shd w:val="clear" w:color="auto" w:fill="auto"/>
          </w:tcPr>
          <w:p w14:paraId="2B04737F" w14:textId="0626C60F" w:rsidR="003A2DB0" w:rsidRPr="00621888" w:rsidRDefault="003A2DB0" w:rsidP="00284785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第一條　為建設智慧國家，促進人工智慧研發與人工智慧產業發展，建構人工智慧安全應用環境，落實數位平權，保障人民基本權利，增進社會福</w:t>
            </w:r>
            <w:r w:rsidRPr="00284785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祉，提升國人生活品質，促進社會國家之永續發展，維護國家文化價值及提升國際競爭力，並確保技術應用符合社會倫理，特制定本法；本法未規定者，適用其他法律之規定。</w:t>
            </w:r>
          </w:p>
        </w:tc>
      </w:tr>
      <w:tr w:rsidR="003A2DB0" w:rsidRPr="00621888" w14:paraId="6E7E6DE8" w14:textId="77777777" w:rsidTr="00DF543A">
        <w:tc>
          <w:tcPr>
            <w:tcW w:w="9057" w:type="dxa"/>
            <w:shd w:val="clear" w:color="auto" w:fill="auto"/>
          </w:tcPr>
          <w:p w14:paraId="51A72D84" w14:textId="77777777" w:rsidR="003A2DB0" w:rsidRPr="00284785" w:rsidRDefault="003A2DB0" w:rsidP="00621888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284785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第二條　本法所稱主管機關：在中央為國家科學及技術委員會；在地方為直轄市、縣（市）政府。</w:t>
            </w:r>
          </w:p>
          <w:p w14:paraId="1589F4CD" w14:textId="77777777" w:rsidR="003A2DB0" w:rsidRPr="00621888" w:rsidRDefault="003A2DB0" w:rsidP="00621888">
            <w:pPr>
              <w:kinsoku w:val="0"/>
              <w:overflowPunct w:val="0"/>
              <w:spacing w:line="315" w:lineRule="exact"/>
              <w:ind w:leftChars="150" w:left="360" w:rightChars="50" w:right="120" w:firstLineChars="200" w:firstLine="42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284785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本法所定事項，涉及各目的事業主管機關執掌者，由各目的事業主管機關辦理。</w:t>
            </w:r>
          </w:p>
        </w:tc>
      </w:tr>
      <w:tr w:rsidR="003A2DB0" w:rsidRPr="00621888" w14:paraId="26461AF5" w14:textId="77777777" w:rsidTr="00DF543A">
        <w:tc>
          <w:tcPr>
            <w:tcW w:w="9057" w:type="dxa"/>
            <w:shd w:val="clear" w:color="auto" w:fill="auto"/>
          </w:tcPr>
          <w:p w14:paraId="034B4E6D" w14:textId="2C246AA2" w:rsidR="003A2DB0" w:rsidRPr="00621888" w:rsidRDefault="003A2DB0" w:rsidP="00DA0A8B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011F09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 xml:space="preserve">第三條　</w:t>
            </w:r>
            <w:r w:rsidR="00011F09" w:rsidRPr="00011F09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本法所稱人工智慧，係指以機器為基礎的系統，於不同程度之自主性運作下，並在部署後可能展現適應性，能夠透過感測或輸入，產生足以影響現實或虛擬環境之預測、內容、建議或決策，以達成人為定義的一系列目的。</w:t>
            </w:r>
          </w:p>
        </w:tc>
      </w:tr>
      <w:tr w:rsidR="003A2DB0" w:rsidRPr="00621888" w14:paraId="36E6C5D0" w14:textId="77777777" w:rsidTr="00DF543A">
        <w:tc>
          <w:tcPr>
            <w:tcW w:w="9057" w:type="dxa"/>
            <w:shd w:val="clear" w:color="auto" w:fill="auto"/>
          </w:tcPr>
          <w:p w14:paraId="0DF97B75" w14:textId="3D3B2643" w:rsidR="003A2DB0" w:rsidRPr="00745880" w:rsidRDefault="003A2DB0" w:rsidP="00745880">
            <w:pPr>
              <w:spacing w:line="315" w:lineRule="exact"/>
              <w:ind w:leftChars="50" w:left="330" w:rightChars="50" w:right="120" w:hangingChars="100" w:hanging="210"/>
              <w:rPr>
                <w:sz w:val="21"/>
                <w:szCs w:val="21"/>
              </w:rPr>
            </w:pPr>
            <w:r w:rsidRPr="00745880">
              <w:rPr>
                <w:rFonts w:hint="eastAsia"/>
                <w:sz w:val="21"/>
                <w:szCs w:val="21"/>
              </w:rPr>
              <w:t>第四條　政府推動人工智慧之研發與應用，應在兼顧社會公</w:t>
            </w:r>
            <w:r w:rsidR="00284785">
              <w:rPr>
                <w:rFonts w:hint="eastAsia"/>
                <w:sz w:val="21"/>
                <w:szCs w:val="21"/>
              </w:rPr>
              <w:t>益、</w:t>
            </w:r>
            <w:r w:rsidRPr="00745880">
              <w:rPr>
                <w:rFonts w:hint="eastAsia"/>
                <w:sz w:val="21"/>
                <w:szCs w:val="21"/>
              </w:rPr>
              <w:t>數位平權</w:t>
            </w:r>
            <w:r w:rsidR="00284785">
              <w:rPr>
                <w:rFonts w:hint="eastAsia"/>
                <w:sz w:val="21"/>
                <w:szCs w:val="21"/>
              </w:rPr>
              <w:t>、促進創新研發與強化國家競爭力</w:t>
            </w:r>
            <w:r w:rsidRPr="00745880">
              <w:rPr>
                <w:rFonts w:hint="eastAsia"/>
                <w:sz w:val="21"/>
                <w:szCs w:val="21"/>
              </w:rPr>
              <w:t>之前提下，發展良善治理與基礎建設，並遵循下列原則：</w:t>
            </w:r>
          </w:p>
          <w:p w14:paraId="3701E3DD" w14:textId="77777777" w:rsidR="003A2DB0" w:rsidRPr="00745880" w:rsidRDefault="003A2DB0" w:rsidP="00745880">
            <w:pPr>
              <w:spacing w:line="315" w:lineRule="exact"/>
              <w:ind w:leftChars="150" w:left="570" w:rightChars="50" w:right="120" w:hangingChars="100" w:hanging="210"/>
              <w:rPr>
                <w:sz w:val="21"/>
                <w:szCs w:val="21"/>
              </w:rPr>
            </w:pPr>
            <w:r w:rsidRPr="00745880">
              <w:rPr>
                <w:rFonts w:hint="eastAsia"/>
                <w:sz w:val="21"/>
                <w:szCs w:val="21"/>
              </w:rPr>
              <w:t>一、永續發展與福祉：應兼顧社會公平及環境永續。提供適當之教育及培訓，降低可能之數位落差，使國民適應人工智慧帶來之變革。</w:t>
            </w:r>
          </w:p>
          <w:p w14:paraId="5E8F5D24" w14:textId="77777777" w:rsidR="003A2DB0" w:rsidRPr="00745880" w:rsidRDefault="003A2DB0" w:rsidP="00745880">
            <w:pPr>
              <w:spacing w:line="315" w:lineRule="exact"/>
              <w:ind w:leftChars="150" w:left="570" w:rightChars="50" w:right="120" w:hangingChars="100" w:hanging="210"/>
              <w:rPr>
                <w:sz w:val="21"/>
                <w:szCs w:val="21"/>
              </w:rPr>
            </w:pPr>
            <w:r w:rsidRPr="00745880">
              <w:rPr>
                <w:rFonts w:hint="eastAsia"/>
                <w:sz w:val="21"/>
                <w:szCs w:val="21"/>
              </w:rPr>
              <w:t>二、人類自主：應以支持人類自主權、尊重人格權等人類基本權利與文化價值，並允許人類監督，落實以人為本並尊重法治及民主價值觀。</w:t>
            </w:r>
          </w:p>
          <w:p w14:paraId="3CF50F56" w14:textId="77777777" w:rsidR="003A2DB0" w:rsidRPr="00745880" w:rsidRDefault="003A2DB0" w:rsidP="00745880">
            <w:pPr>
              <w:spacing w:line="315" w:lineRule="exact"/>
              <w:ind w:leftChars="150" w:left="570" w:rightChars="50" w:right="120" w:hangingChars="100" w:hanging="210"/>
              <w:rPr>
                <w:sz w:val="21"/>
                <w:szCs w:val="21"/>
              </w:rPr>
            </w:pPr>
            <w:r w:rsidRPr="00745880">
              <w:rPr>
                <w:rFonts w:hint="eastAsia"/>
                <w:sz w:val="21"/>
                <w:szCs w:val="21"/>
              </w:rPr>
              <w:t>三、隱私保護與資料治理：應妥善保護個人資料隱私，避免資料外洩風險，並採用資料最小化原則；同時促進非敏感資料之開放及再利用。</w:t>
            </w:r>
          </w:p>
          <w:p w14:paraId="205A273E" w14:textId="77777777" w:rsidR="003A2DB0" w:rsidRPr="00284785" w:rsidRDefault="003A2DB0" w:rsidP="00745880">
            <w:pPr>
              <w:spacing w:line="315" w:lineRule="exact"/>
              <w:ind w:leftChars="150" w:left="570" w:rightChars="50" w:right="120" w:hangingChars="100" w:hanging="210"/>
              <w:rPr>
                <w:sz w:val="21"/>
                <w:szCs w:val="21"/>
              </w:rPr>
            </w:pPr>
            <w:r w:rsidRPr="00745880">
              <w:rPr>
                <w:rFonts w:hint="eastAsia"/>
                <w:sz w:val="21"/>
                <w:szCs w:val="21"/>
              </w:rPr>
              <w:t>四</w:t>
            </w:r>
            <w:r w:rsidRPr="00284785">
              <w:rPr>
                <w:rFonts w:hint="eastAsia"/>
                <w:sz w:val="21"/>
                <w:szCs w:val="21"/>
              </w:rPr>
              <w:t>、智慧財產權之保護：人工智慧之發展及應用，應遵守智慧財產權相關條文，使其不受侵害。</w:t>
            </w:r>
          </w:p>
          <w:p w14:paraId="3DA03690" w14:textId="77777777" w:rsidR="003A2DB0" w:rsidRPr="00745880" w:rsidRDefault="003A2DB0" w:rsidP="00745880">
            <w:pPr>
              <w:spacing w:line="315" w:lineRule="exact"/>
              <w:ind w:leftChars="150" w:left="570" w:rightChars="50" w:right="120" w:hangingChars="100" w:hanging="210"/>
              <w:rPr>
                <w:sz w:val="21"/>
                <w:szCs w:val="21"/>
              </w:rPr>
            </w:pPr>
            <w:r w:rsidRPr="00284785">
              <w:rPr>
                <w:rFonts w:hint="eastAsia"/>
                <w:sz w:val="21"/>
                <w:szCs w:val="21"/>
              </w:rPr>
              <w:t>五、資安與安全：人工</w:t>
            </w:r>
            <w:r w:rsidRPr="00745880">
              <w:rPr>
                <w:rFonts w:hint="eastAsia"/>
                <w:sz w:val="21"/>
                <w:szCs w:val="21"/>
              </w:rPr>
              <w:t>智慧研發與應用過程，應建立資安防護措施，防範安全威脅及攻擊，確保其系統之穩健性與安全性。</w:t>
            </w:r>
          </w:p>
          <w:p w14:paraId="4659FF44" w14:textId="77777777" w:rsidR="003A2DB0" w:rsidRPr="00745880" w:rsidRDefault="003A2DB0" w:rsidP="00745880">
            <w:pPr>
              <w:spacing w:line="315" w:lineRule="exact"/>
              <w:ind w:leftChars="150" w:left="570" w:rightChars="50" w:right="120" w:hangingChars="100" w:hanging="210"/>
              <w:rPr>
                <w:sz w:val="21"/>
                <w:szCs w:val="21"/>
              </w:rPr>
            </w:pPr>
            <w:r w:rsidRPr="00745880">
              <w:rPr>
                <w:rFonts w:hint="eastAsia"/>
                <w:sz w:val="21"/>
                <w:szCs w:val="21"/>
              </w:rPr>
              <w:t>六、透明與可解釋：人工智慧之產出應做適當資訊揭露或標記，以利評估可能風險，並瞭解對相關權益之影響，進而提升人工智慧可信任度。</w:t>
            </w:r>
          </w:p>
          <w:p w14:paraId="05A29C16" w14:textId="77777777" w:rsidR="003A2DB0" w:rsidRPr="00745880" w:rsidRDefault="003A2DB0" w:rsidP="00745880">
            <w:pPr>
              <w:spacing w:line="315" w:lineRule="exact"/>
              <w:ind w:leftChars="150" w:left="570" w:rightChars="50" w:right="120" w:hangingChars="100" w:hanging="210"/>
              <w:rPr>
                <w:sz w:val="21"/>
                <w:szCs w:val="21"/>
              </w:rPr>
            </w:pPr>
            <w:r w:rsidRPr="00745880">
              <w:rPr>
                <w:rFonts w:hint="eastAsia"/>
                <w:sz w:val="21"/>
                <w:szCs w:val="21"/>
              </w:rPr>
              <w:t>七、公平與不歧視：人工智慧研發與應用過程中，應盡可能避免演算法產生偏差及歧視等風險，不應對特定群體造成歧視之結果。</w:t>
            </w:r>
          </w:p>
          <w:p w14:paraId="2BA49B14" w14:textId="3E2E029B" w:rsidR="003A2DB0" w:rsidRPr="00284785" w:rsidRDefault="003A2DB0" w:rsidP="00284785">
            <w:pPr>
              <w:kinsoku w:val="0"/>
              <w:overflowPunct w:val="0"/>
              <w:spacing w:line="315" w:lineRule="exact"/>
              <w:ind w:leftChars="150" w:left="570" w:rightChars="50" w:right="120" w:hangingChars="100" w:hanging="210"/>
              <w:jc w:val="both"/>
              <w:textAlignment w:val="center"/>
              <w:rPr>
                <w:sz w:val="21"/>
                <w:szCs w:val="21"/>
              </w:rPr>
            </w:pPr>
            <w:r w:rsidRPr="00745880">
              <w:rPr>
                <w:rFonts w:hint="eastAsia"/>
                <w:sz w:val="21"/>
                <w:szCs w:val="21"/>
              </w:rPr>
              <w:t>八、問責：應確保承擔相應之責任，包含內部治理責任及外部社會責任。</w:t>
            </w:r>
          </w:p>
        </w:tc>
      </w:tr>
      <w:tr w:rsidR="003A2DB0" w:rsidRPr="00621888" w14:paraId="7BA3977D" w14:textId="77777777" w:rsidTr="00DF543A">
        <w:tc>
          <w:tcPr>
            <w:tcW w:w="9057" w:type="dxa"/>
            <w:shd w:val="clear" w:color="auto" w:fill="auto"/>
          </w:tcPr>
          <w:p w14:paraId="4E3F9068" w14:textId="4220919B" w:rsidR="003A2DB0" w:rsidRPr="00621888" w:rsidRDefault="003A2DB0" w:rsidP="00745880">
            <w:pPr>
              <w:kinsoku w:val="0"/>
              <w:overflowPunct w:val="0"/>
              <w:spacing w:line="32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D24F11" wp14:editId="3B3A2EC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-17780</wp:posOffset>
                      </wp:positionV>
                      <wp:extent cx="5814060" cy="0"/>
                      <wp:effectExtent l="12700" t="12065" r="12065" b="698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4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F0955" id="直線接點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-1.4pt" to="455.4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" strokeweight=".5pt"/>
                  </w:pict>
                </mc:Fallback>
              </mc:AlternateContent>
            </w: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第五條　人民無分性別、年齡、能力、地域、族群、宗教信仰、政治理念、社經地位及其他條件，接觸人工智慧之機會一律平等。對於原住民、身心障礙者及其他弱勢族群，應考慮其自主性及特殊性，依法令予以特別保障，並扶助其發展。</w:t>
            </w:r>
          </w:p>
        </w:tc>
      </w:tr>
      <w:tr w:rsidR="003A2DB0" w:rsidRPr="00621888" w14:paraId="2C186A95" w14:textId="77777777" w:rsidTr="00DF543A">
        <w:tc>
          <w:tcPr>
            <w:tcW w:w="9057" w:type="dxa"/>
            <w:shd w:val="clear" w:color="auto" w:fill="auto"/>
          </w:tcPr>
          <w:p w14:paraId="78104DED" w14:textId="5AB2E83D" w:rsidR="00E91919" w:rsidRPr="00621888" w:rsidRDefault="003A2DB0" w:rsidP="00284785">
            <w:pPr>
              <w:kinsoku w:val="0"/>
              <w:overflowPunct w:val="0"/>
              <w:spacing w:line="32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 xml:space="preserve">第六條　</w:t>
            </w:r>
            <w:r w:rsidRPr="00284785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政府</w:t>
            </w: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應避免人工智慧之應用，有侵害人民生命、身體、自由或財產，破壞社會秩序或生態環境，或偏差、歧視、廣告不實、資訊誤導或造假等違反相關法規之情事。</w:t>
            </w:r>
          </w:p>
          <w:p w14:paraId="40F410B3" w14:textId="1AA721F6" w:rsidR="00D81FCA" w:rsidRDefault="00D81FCA" w:rsidP="00745880">
            <w:pPr>
              <w:kinsoku w:val="0"/>
              <w:overflowPunct w:val="0"/>
              <w:spacing w:line="325" w:lineRule="exact"/>
              <w:ind w:leftChars="150" w:left="360" w:rightChars="50" w:right="120" w:firstLineChars="200" w:firstLine="42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011F09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為強化對未成年人之保護，人工智慧產品或系統經中央目的事業主管機關</w:t>
            </w:r>
            <w:r w:rsidR="00011F09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會同數位發展部</w:t>
            </w:r>
            <w:r w:rsidRPr="00011F09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認定為高風險應用者，應明確標示注意事項或警語。</w:t>
            </w:r>
          </w:p>
          <w:p w14:paraId="2DE11C37" w14:textId="28904000" w:rsidR="003A2DB0" w:rsidRPr="00621888" w:rsidRDefault="00284785" w:rsidP="00745880">
            <w:pPr>
              <w:kinsoku w:val="0"/>
              <w:overflowPunct w:val="0"/>
              <w:spacing w:line="325" w:lineRule="exact"/>
              <w:ind w:leftChars="150" w:left="360" w:rightChars="50" w:right="120" w:firstLineChars="200" w:firstLine="42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284785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數位發展部及其他相關機關應提供或建議評估驗證之工具或方法，以利各目的事業主管機關辦理前項事項。</w:t>
            </w:r>
          </w:p>
        </w:tc>
      </w:tr>
      <w:tr w:rsidR="003A2DB0" w:rsidRPr="00621888" w14:paraId="5D0AF0B9" w14:textId="77777777" w:rsidTr="00DF543A">
        <w:tc>
          <w:tcPr>
            <w:tcW w:w="9057" w:type="dxa"/>
            <w:shd w:val="clear" w:color="auto" w:fill="auto"/>
          </w:tcPr>
          <w:p w14:paraId="3FBD8DA7" w14:textId="77777777" w:rsidR="003A2DB0" w:rsidRPr="00284785" w:rsidRDefault="003A2DB0" w:rsidP="00745880">
            <w:pPr>
              <w:kinsoku w:val="0"/>
              <w:overflowPunct w:val="0"/>
              <w:spacing w:line="32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284785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第七條　行政院應成立國家人工智慧戰略特別委員會，由行政院院長召集學者專家、人工智慧相關民間團體及產業代表、政務委員、相關機關首長或代表、直轄市及縣（市）政府首長組成，協調、推動及督導全國人工智慧事務，並訂定國家人工智慧發展綱領。</w:t>
            </w:r>
          </w:p>
          <w:p w14:paraId="65F009FF" w14:textId="77777777" w:rsidR="003A2DB0" w:rsidRPr="00284785" w:rsidRDefault="003A2DB0" w:rsidP="00745880">
            <w:pPr>
              <w:kinsoku w:val="0"/>
              <w:overflowPunct w:val="0"/>
              <w:spacing w:line="325" w:lineRule="exact"/>
              <w:ind w:leftChars="150" w:left="360" w:rightChars="50" w:right="120" w:firstLineChars="200" w:firstLine="42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284785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lastRenderedPageBreak/>
              <w:t>前項委員會每年至少召開會議一次，並審議國家人工智慧發展綱領；遇突發緊急或重大事件，應召開臨時會議。</w:t>
            </w:r>
          </w:p>
          <w:p w14:paraId="44BC5CAB" w14:textId="77777777" w:rsidR="003A2DB0" w:rsidRPr="00621888" w:rsidRDefault="003A2DB0" w:rsidP="00745880">
            <w:pPr>
              <w:kinsoku w:val="0"/>
              <w:overflowPunct w:val="0"/>
              <w:spacing w:line="325" w:lineRule="exact"/>
              <w:ind w:leftChars="150" w:left="360" w:rightChars="50" w:right="120" w:firstLineChars="200" w:firstLine="42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284785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第一項委員會之幕僚作業，由國家科學及技術委員會辦理。</w:t>
            </w:r>
          </w:p>
        </w:tc>
      </w:tr>
      <w:tr w:rsidR="003A2DB0" w:rsidRPr="00621888" w14:paraId="08A4AF09" w14:textId="77777777" w:rsidTr="00DF543A">
        <w:tc>
          <w:tcPr>
            <w:tcW w:w="9057" w:type="dxa"/>
            <w:shd w:val="clear" w:color="auto" w:fill="auto"/>
          </w:tcPr>
          <w:p w14:paraId="07C1C5F9" w14:textId="4B2532EF" w:rsidR="003A2DB0" w:rsidRPr="00621888" w:rsidRDefault="003A2DB0" w:rsidP="00745880">
            <w:pPr>
              <w:kinsoku w:val="0"/>
              <w:overflowPunct w:val="0"/>
              <w:spacing w:line="32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lastRenderedPageBreak/>
              <w:t>第八條　為加速建構具有我國特色，並符合國家人工智慧戰略之人工智慧，以確保我國數位主權，有效提升政府效能，</w:t>
            </w: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政府機關（構）應</w:t>
            </w: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積極推動之人工智慧布建及應用。</w:t>
            </w:r>
          </w:p>
        </w:tc>
      </w:tr>
      <w:tr w:rsidR="003A2DB0" w:rsidRPr="00621888" w14:paraId="7CB68876" w14:textId="77777777" w:rsidTr="00DF543A">
        <w:tc>
          <w:tcPr>
            <w:tcW w:w="9057" w:type="dxa"/>
            <w:shd w:val="clear" w:color="auto" w:fill="auto"/>
          </w:tcPr>
          <w:p w14:paraId="4DC25DCD" w14:textId="382884F3" w:rsidR="003A2DB0" w:rsidRDefault="003A2DB0" w:rsidP="0073119F">
            <w:pPr>
              <w:kinsoku w:val="0"/>
              <w:overflowPunct w:val="0"/>
              <w:spacing w:line="32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第九條　為提升國民對於人工智慧之知識與技能，政府應持續推動各級學校、產業、社會及公務機關（構）之人工智慧教育，並厚植國民之數位素養。</w:t>
            </w:r>
          </w:p>
          <w:p w14:paraId="30DBA2BE" w14:textId="20D81B3A" w:rsidR="004C6292" w:rsidRPr="00621888" w:rsidRDefault="004C6292" w:rsidP="0073119F">
            <w:pPr>
              <w:kinsoku w:val="0"/>
              <w:overflowPunct w:val="0"/>
              <w:spacing w:line="32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 xml:space="preserve">    </w:t>
            </w:r>
            <w:r w:rsidRPr="004451D6">
              <w:rPr>
                <w:rFonts w:ascii="Times New Roman" w:eastAsia="細明體" w:hAnsi="Times New Roman" w:cs="Times New Roman" w:hint="eastAsia"/>
                <w:noProof/>
                <w:color w:val="000000" w:themeColor="text1"/>
                <w:sz w:val="21"/>
                <w:szCs w:val="24"/>
              </w:rPr>
              <w:t xml:space="preserve">  </w:t>
            </w:r>
            <w:r w:rsidRPr="004451D6">
              <w:rPr>
                <w:rFonts w:ascii="Times New Roman" w:eastAsia="細明體" w:hAnsi="Times New Roman" w:cs="Times New Roman" w:hint="eastAsia"/>
                <w:noProof/>
                <w:color w:val="000000" w:themeColor="text1"/>
                <w:sz w:val="21"/>
                <w:szCs w:val="24"/>
              </w:rPr>
              <w:t>中央教育主管機關應針對各級學校制定人工智慧使用與學習指引，並</w:t>
            </w:r>
            <w:r w:rsidR="005259DA" w:rsidRPr="004451D6">
              <w:rPr>
                <w:rFonts w:ascii="Times New Roman" w:eastAsia="細明體" w:hAnsi="Times New Roman" w:cs="Times New Roman" w:hint="eastAsia"/>
                <w:noProof/>
                <w:color w:val="000000" w:themeColor="text1"/>
                <w:sz w:val="21"/>
                <w:szCs w:val="24"/>
              </w:rPr>
              <w:t>會同主管機關</w:t>
            </w:r>
            <w:r w:rsidRPr="004451D6">
              <w:rPr>
                <w:rFonts w:ascii="Times New Roman" w:eastAsia="細明體" w:hAnsi="Times New Roman" w:cs="Times New Roman" w:hint="eastAsia"/>
                <w:noProof/>
                <w:color w:val="000000" w:themeColor="text1"/>
                <w:sz w:val="21"/>
                <w:szCs w:val="24"/>
              </w:rPr>
              <w:t>推動相關產品或服務之設計與使用認證機制，以確保各教育階段學生之身心安全，並使其具有足夠之資訊判讀能力。</w:t>
            </w:r>
          </w:p>
        </w:tc>
      </w:tr>
      <w:tr w:rsidR="003A2DB0" w:rsidRPr="00621888" w14:paraId="014A3E85" w14:textId="77777777" w:rsidTr="00DF543A">
        <w:tc>
          <w:tcPr>
            <w:tcW w:w="9057" w:type="dxa"/>
            <w:shd w:val="clear" w:color="auto" w:fill="auto"/>
          </w:tcPr>
          <w:p w14:paraId="019E1A85" w14:textId="653A6691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0B76D1" wp14:editId="7CAA4E1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-17780</wp:posOffset>
                      </wp:positionV>
                      <wp:extent cx="5814060" cy="0"/>
                      <wp:effectExtent l="12700" t="12065" r="12065" b="698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4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6227D" id="直線接點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-1.4pt" to="455.4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" strokeweight=".5pt"/>
                  </w:pict>
                </mc:Fallback>
              </mc:AlternateContent>
            </w: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第十</w:t>
            </w: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 xml:space="preserve">條　</w:t>
            </w:r>
            <w:r w:rsidR="00686872"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政府</w:t>
            </w: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應落實人工智慧發展政策並鼓勵產官學界，就下列事項，積極進行跨域合作及國際交流：</w:t>
            </w:r>
          </w:p>
          <w:p w14:paraId="296C1957" w14:textId="77777777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150" w:left="57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一、促進人工智慧研發創新。</w:t>
            </w:r>
          </w:p>
          <w:p w14:paraId="3314DADA" w14:textId="77777777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150" w:left="57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二、重視人工智慧基本教育。</w:t>
            </w:r>
          </w:p>
          <w:p w14:paraId="421C9DAC" w14:textId="77777777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150" w:left="57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三、培育人工智慧專業人才。</w:t>
            </w:r>
          </w:p>
          <w:p w14:paraId="5ED9A1B7" w14:textId="77777777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150" w:left="57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四、推動人工智慧產業發展。</w:t>
            </w:r>
          </w:p>
          <w:p w14:paraId="5E1DE3E9" w14:textId="77777777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150" w:left="57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五、深化人工智慧產學合作。</w:t>
            </w:r>
          </w:p>
          <w:p w14:paraId="3BBD5A34" w14:textId="77777777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150" w:left="57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六、鼓勵人工智慧發展投資。</w:t>
            </w:r>
          </w:p>
          <w:p w14:paraId="6A3A60B1" w14:textId="77777777" w:rsidR="003A2DB0" w:rsidRPr="00621888" w:rsidRDefault="003A2DB0" w:rsidP="0073119F">
            <w:pPr>
              <w:kinsoku w:val="0"/>
              <w:overflowPunct w:val="0"/>
              <w:spacing w:line="315" w:lineRule="exact"/>
              <w:ind w:leftChars="150" w:left="57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七、建立資料中心、能源設備等有利於人工智慧發展之基礎設施。</w:t>
            </w:r>
          </w:p>
          <w:p w14:paraId="5C9C6467" w14:textId="77777777" w:rsidR="003A2DB0" w:rsidRPr="00621888" w:rsidRDefault="003A2DB0" w:rsidP="0073119F">
            <w:pPr>
              <w:kinsoku w:val="0"/>
              <w:overflowPunct w:val="0"/>
              <w:spacing w:line="315" w:lineRule="exact"/>
              <w:ind w:leftChars="150" w:left="57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八、其他人工智慧發展政策。</w:t>
            </w:r>
          </w:p>
        </w:tc>
      </w:tr>
      <w:tr w:rsidR="003A2DB0" w:rsidRPr="00621888" w14:paraId="52B49C1D" w14:textId="77777777" w:rsidTr="00DF543A">
        <w:tc>
          <w:tcPr>
            <w:tcW w:w="9057" w:type="dxa"/>
            <w:shd w:val="clear" w:color="auto" w:fill="auto"/>
          </w:tcPr>
          <w:p w14:paraId="184D36A1" w14:textId="70BE665E" w:rsidR="00D842EE" w:rsidRPr="00621888" w:rsidRDefault="003A2DB0" w:rsidP="004451D6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 xml:space="preserve">第十一條　</w:t>
            </w:r>
            <w:r w:rsidRPr="00B86E4F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中央政府應於國家財政能力範圍內，寬列預算，採取必要措施，持續確保經費符合推行人工智慧政策發展所需。</w:t>
            </w:r>
          </w:p>
        </w:tc>
      </w:tr>
      <w:tr w:rsidR="003A2DB0" w:rsidRPr="00621888" w14:paraId="0D79EB90" w14:textId="77777777" w:rsidTr="00DF543A">
        <w:tc>
          <w:tcPr>
            <w:tcW w:w="9057" w:type="dxa"/>
            <w:shd w:val="clear" w:color="auto" w:fill="auto"/>
          </w:tcPr>
          <w:p w14:paraId="75D5DEE5" w14:textId="7DE48DCB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第十二條　政府應積極推動人工智慧研發、應用及基礎建設，妥善規劃資源整體配置，並辦理人工智慧相關產業之補助、委託、出資、投資、獎勵、輔導，或提供租稅、金融等財政優惠措施。</w:t>
            </w:r>
          </w:p>
        </w:tc>
      </w:tr>
      <w:tr w:rsidR="003A2DB0" w:rsidRPr="00621888" w14:paraId="0701786E" w14:textId="77777777" w:rsidTr="00DF543A">
        <w:tc>
          <w:tcPr>
            <w:tcW w:w="9057" w:type="dxa"/>
            <w:shd w:val="clear" w:color="auto" w:fill="auto"/>
          </w:tcPr>
          <w:p w14:paraId="194EA4C5" w14:textId="536A1F08" w:rsidR="003A2DB0" w:rsidRPr="004451D6" w:rsidRDefault="003A2DB0" w:rsidP="004451D6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 xml:space="preserve">第十三條　</w:t>
            </w:r>
            <w:r w:rsidR="00686872"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政府</w:t>
            </w: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應於人工智慧開發、訓練、測試及驗證新興技術運作之影響時，提供合理使用、扶持及補助措施，並完善人工智慧研發及應用之法規。相關法規之解釋與適用，如與其他法規扞格，在符合本法第四條基本原則之前提下，應優先保障新興技術與服務之提供。如有必要，應修正其他法律。</w:t>
            </w:r>
          </w:p>
        </w:tc>
      </w:tr>
      <w:tr w:rsidR="003A2DB0" w:rsidRPr="00621888" w14:paraId="6EB87B51" w14:textId="77777777" w:rsidTr="00DF543A">
        <w:tc>
          <w:tcPr>
            <w:tcW w:w="9057" w:type="dxa"/>
            <w:shd w:val="clear" w:color="auto" w:fill="auto"/>
          </w:tcPr>
          <w:p w14:paraId="5E75D838" w14:textId="33251A9D" w:rsidR="003A2DB0" w:rsidRPr="00621888" w:rsidRDefault="003A2DB0" w:rsidP="0073119F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 xml:space="preserve">第十四條　</w:t>
            </w: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政府</w:t>
            </w: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應基於公私協力原則，積極與民間共同推動人工智慧之創新運用。</w:t>
            </w:r>
          </w:p>
        </w:tc>
      </w:tr>
      <w:tr w:rsidR="003A2DB0" w:rsidRPr="00621888" w14:paraId="47DC685E" w14:textId="77777777" w:rsidTr="00DF543A">
        <w:tc>
          <w:tcPr>
            <w:tcW w:w="9057" w:type="dxa"/>
            <w:shd w:val="clear" w:color="auto" w:fill="auto"/>
          </w:tcPr>
          <w:p w14:paraId="365FCE35" w14:textId="4888C53A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第十五條　政府應本於資料具有永久性、可加解密之再利用性，以及價值可追溯紀錄之特性，建立資料開放、共享及再利用機制，以提升人工智慧使用資料之可利用性，並定期檢視與調整相關法令及規範。</w:t>
            </w:r>
          </w:p>
          <w:p w14:paraId="1476A3CB" w14:textId="21A4C5D7" w:rsidR="003A2DB0" w:rsidRPr="00621888" w:rsidRDefault="003A2DB0" w:rsidP="0073119F">
            <w:pPr>
              <w:kinsoku w:val="0"/>
              <w:overflowPunct w:val="0"/>
              <w:spacing w:line="315" w:lineRule="exact"/>
              <w:ind w:leftChars="150" w:left="360" w:rightChars="50" w:right="120" w:firstLineChars="200" w:firstLine="42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政府應致力提升我國人工智慧使用資料之品質與數量，確保訓練結果足以展現國家多元文化價值與維護智慧財產權。</w:t>
            </w:r>
          </w:p>
        </w:tc>
      </w:tr>
      <w:tr w:rsidR="003A2DB0" w:rsidRPr="00621888" w14:paraId="2EAF494D" w14:textId="77777777" w:rsidTr="00DF543A">
        <w:tc>
          <w:tcPr>
            <w:tcW w:w="9057" w:type="dxa"/>
            <w:shd w:val="clear" w:color="auto" w:fill="auto"/>
          </w:tcPr>
          <w:p w14:paraId="6D9CC493" w14:textId="3BD04974" w:rsidR="00D842EE" w:rsidRPr="00621888" w:rsidRDefault="003A2DB0" w:rsidP="004451D6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第十六條　個人資料保護主管機關應協助各目的事業主管機關，在人工智慧研發及應用過程，避免不必要之個人資料蒐集、處理或利用，並促進個人資料保護納入預設及設計相關措施或機制，以維護當事人權益。</w:t>
            </w:r>
          </w:p>
        </w:tc>
      </w:tr>
      <w:tr w:rsidR="003A2DB0" w:rsidRPr="00621888" w14:paraId="3AEF58A4" w14:textId="77777777" w:rsidTr="00DF543A">
        <w:tc>
          <w:tcPr>
            <w:tcW w:w="9057" w:type="dxa"/>
            <w:shd w:val="clear" w:color="auto" w:fill="auto"/>
          </w:tcPr>
          <w:p w14:paraId="159BDD5A" w14:textId="20898DEE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第十七條　政府應積極運用人工智慧確保勞動者之勞動權益。</w:t>
            </w:r>
          </w:p>
          <w:p w14:paraId="2A35CC16" w14:textId="77777777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150" w:left="360" w:rightChars="50" w:right="120" w:firstLineChars="200" w:firstLine="42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政府應積極弭平人工智慧發展所造成之技能落差，提升勞動參與，保障經濟安全，並落實尊嚴勞動。</w:t>
            </w:r>
          </w:p>
          <w:p w14:paraId="17877906" w14:textId="409EACE6" w:rsidR="003A2DB0" w:rsidRPr="00621888" w:rsidRDefault="003A2DB0" w:rsidP="0073119F">
            <w:pPr>
              <w:kinsoku w:val="0"/>
              <w:overflowPunct w:val="0"/>
              <w:spacing w:line="315" w:lineRule="exact"/>
              <w:ind w:leftChars="150" w:left="360" w:rightChars="50" w:right="120" w:firstLineChars="200" w:firstLine="42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lastRenderedPageBreak/>
              <w:t>政府應就人工智慧利用所致之失業者，依其工作能力予以輔導就業。</w:t>
            </w:r>
          </w:p>
        </w:tc>
      </w:tr>
      <w:tr w:rsidR="003A2DB0" w:rsidRPr="00621888" w14:paraId="2252582C" w14:textId="77777777" w:rsidTr="00DF543A">
        <w:tc>
          <w:tcPr>
            <w:tcW w:w="9057" w:type="dxa"/>
            <w:shd w:val="clear" w:color="auto" w:fill="auto"/>
          </w:tcPr>
          <w:p w14:paraId="0B28590F" w14:textId="49AE97B8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lastRenderedPageBreak/>
              <w:t xml:space="preserve">第十八條　</w:t>
            </w:r>
            <w:r w:rsidR="00011F09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數位發展部</w:t>
            </w: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應協調其他相關機關參考國際標準或規範，推動與國際介接之人工智慧風險分類框架，並定期檢討之。</w:t>
            </w:r>
          </w:p>
          <w:p w14:paraId="25ED40E2" w14:textId="225BD184" w:rsidR="003A2DB0" w:rsidRPr="00621888" w:rsidRDefault="003A2DB0" w:rsidP="004451D6">
            <w:pPr>
              <w:kinsoku w:val="0"/>
              <w:overflowPunct w:val="0"/>
              <w:spacing w:line="315" w:lineRule="exact"/>
              <w:ind w:leftChars="150" w:left="360" w:rightChars="50" w:right="120" w:firstLineChars="200" w:firstLine="42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各目的事業主管機關得循前項風險分類框架，訂定其主管業務之風險分類規範。</w:t>
            </w:r>
          </w:p>
        </w:tc>
      </w:tr>
      <w:tr w:rsidR="003A2DB0" w:rsidRPr="00621888" w14:paraId="7B4BE1C8" w14:textId="77777777" w:rsidTr="00DF543A">
        <w:tc>
          <w:tcPr>
            <w:tcW w:w="9057" w:type="dxa"/>
            <w:shd w:val="clear" w:color="auto" w:fill="auto"/>
          </w:tcPr>
          <w:p w14:paraId="132E40C0" w14:textId="3DC8B451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73119F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第十</w:t>
            </w:r>
            <w:r w:rsid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九</w:t>
            </w:r>
            <w:r w:rsidRPr="0073119F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條　政府應依人工智慧風險</w:t>
            </w: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分類，透過標準、驗證、檢測、標記、揭露、溯源或問責等機制，提升人工智慧應用可信任度，建立人工智慧應用條件、責任、救濟、補償或保險等相關規範，明確責任歸屬與歸責條件。</w:t>
            </w:r>
          </w:p>
          <w:p w14:paraId="0473A7E7" w14:textId="1224E295" w:rsidR="003A2DB0" w:rsidRPr="00621888" w:rsidRDefault="00011F09" w:rsidP="004451D6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 xml:space="preserve">      </w:t>
            </w:r>
            <w:r w:rsidR="003A2DB0"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人工智慧技術開發與研究，於應用前之任何活動，除應遵守第四條之基本原則外，不適用前項應用責任相關規範，以利技術創新發展。</w:t>
            </w:r>
          </w:p>
        </w:tc>
      </w:tr>
      <w:tr w:rsidR="003A2DB0" w:rsidRPr="00621888" w14:paraId="3F3D977B" w14:textId="77777777" w:rsidTr="00DF543A">
        <w:tc>
          <w:tcPr>
            <w:tcW w:w="9057" w:type="dxa"/>
            <w:shd w:val="clear" w:color="auto" w:fill="auto"/>
          </w:tcPr>
          <w:p w14:paraId="4C0D4D80" w14:textId="5616A9D6" w:rsidR="003A2DB0" w:rsidRPr="00621888" w:rsidRDefault="003A2DB0" w:rsidP="0073119F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</w:t>
            </w:r>
            <w:r w:rsid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二十</w:t>
            </w: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條　政府應於本法施行後，依本法規定檢討及調整所主管之執掌、業務及法規，以落實本法之目的。</w:t>
            </w:r>
          </w:p>
          <w:p w14:paraId="35630636" w14:textId="77777777" w:rsidR="003A2DB0" w:rsidRPr="00621888" w:rsidRDefault="003A2DB0" w:rsidP="0073119F">
            <w:pPr>
              <w:kinsoku w:val="0"/>
              <w:overflowPunct w:val="0"/>
              <w:spacing w:line="315" w:lineRule="exact"/>
              <w:ind w:leftChars="150" w:left="360" w:rightChars="50" w:right="120" w:firstLineChars="200" w:firstLine="42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前項法規制（訂）定或修正前，既有法規未有規定者，由中央目的事業主管機關偕同中央主管機關，依本法規定解釋、適用之。</w:t>
            </w:r>
          </w:p>
        </w:tc>
      </w:tr>
      <w:tr w:rsidR="003A2DB0" w:rsidRPr="00621888" w14:paraId="1A0CA3C9" w14:textId="77777777" w:rsidTr="00DF543A">
        <w:tc>
          <w:tcPr>
            <w:tcW w:w="9057" w:type="dxa"/>
            <w:shd w:val="clear" w:color="auto" w:fill="auto"/>
          </w:tcPr>
          <w:p w14:paraId="38E916B6" w14:textId="7BFAAF58" w:rsidR="003A2DB0" w:rsidRPr="00621888" w:rsidRDefault="003A2DB0" w:rsidP="0073119F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D9ED4C" wp14:editId="0C8DEF8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217805</wp:posOffset>
                      </wp:positionV>
                      <wp:extent cx="5814060" cy="0"/>
                      <wp:effectExtent l="14605" t="9525" r="10160" b="952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40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ADBCA" id="直線接點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7.15pt" to="455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" strokeweight="1.5pt"/>
                  </w:pict>
                </mc:Fallback>
              </mc:AlternateContent>
            </w: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第二十</w:t>
            </w:r>
            <w:r w:rsid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一</w:t>
            </w: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條　本法自公布之日起施行。</w:t>
            </w:r>
          </w:p>
        </w:tc>
      </w:tr>
    </w:tbl>
    <w:p w14:paraId="71F40A8B" w14:textId="77777777" w:rsidR="00621888" w:rsidRPr="00621888" w:rsidRDefault="00621888" w:rsidP="00621888">
      <w:pPr>
        <w:kinsoku w:val="0"/>
        <w:overflowPunct w:val="0"/>
        <w:jc w:val="both"/>
        <w:textAlignment w:val="center"/>
        <w:rPr>
          <w:rFonts w:ascii="Times New Roman" w:eastAsia="細明體" w:hAnsi="Times New Roman" w:cs="Times New Roman"/>
          <w:noProof/>
          <w:sz w:val="21"/>
          <w:szCs w:val="24"/>
        </w:rPr>
      </w:pPr>
    </w:p>
    <w:p w14:paraId="01DDDF96" w14:textId="77777777" w:rsidR="00621888" w:rsidRPr="00621888" w:rsidRDefault="00621888" w:rsidP="00621888">
      <w:pPr>
        <w:rPr>
          <w:rFonts w:ascii="標楷體" w:eastAsia="標楷體" w:hAnsi="標楷體"/>
          <w:sz w:val="36"/>
          <w:szCs w:val="32"/>
        </w:rPr>
      </w:pPr>
    </w:p>
    <w:sectPr w:rsidR="00621888" w:rsidRPr="006218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2623" w14:textId="77777777" w:rsidR="0097436B" w:rsidRDefault="0097436B" w:rsidP="003D708A">
      <w:r>
        <w:separator/>
      </w:r>
    </w:p>
  </w:endnote>
  <w:endnote w:type="continuationSeparator" w:id="0">
    <w:p w14:paraId="00DB28C2" w14:textId="77777777" w:rsidR="0097436B" w:rsidRDefault="0097436B" w:rsidP="003D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31B4" w14:textId="77777777" w:rsidR="0097436B" w:rsidRDefault="0097436B" w:rsidP="003D708A">
      <w:r>
        <w:separator/>
      </w:r>
    </w:p>
  </w:footnote>
  <w:footnote w:type="continuationSeparator" w:id="0">
    <w:p w14:paraId="0D24BCA3" w14:textId="77777777" w:rsidR="0097436B" w:rsidRDefault="0097436B" w:rsidP="003D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88"/>
    <w:rsid w:val="00011F09"/>
    <w:rsid w:val="00284785"/>
    <w:rsid w:val="002A3D34"/>
    <w:rsid w:val="002E6145"/>
    <w:rsid w:val="00303A26"/>
    <w:rsid w:val="00342E16"/>
    <w:rsid w:val="00382C62"/>
    <w:rsid w:val="003A2DB0"/>
    <w:rsid w:val="003D2652"/>
    <w:rsid w:val="003D708A"/>
    <w:rsid w:val="004355C2"/>
    <w:rsid w:val="004451D6"/>
    <w:rsid w:val="004C6292"/>
    <w:rsid w:val="005259DA"/>
    <w:rsid w:val="00621888"/>
    <w:rsid w:val="00686872"/>
    <w:rsid w:val="00705AA5"/>
    <w:rsid w:val="00731075"/>
    <w:rsid w:val="0073119F"/>
    <w:rsid w:val="00745880"/>
    <w:rsid w:val="007A4DFA"/>
    <w:rsid w:val="007B3291"/>
    <w:rsid w:val="008D3D2B"/>
    <w:rsid w:val="00924A6E"/>
    <w:rsid w:val="0097436B"/>
    <w:rsid w:val="009F7C92"/>
    <w:rsid w:val="00A34EAE"/>
    <w:rsid w:val="00B24A0D"/>
    <w:rsid w:val="00B86E4F"/>
    <w:rsid w:val="00CE0C94"/>
    <w:rsid w:val="00D164FC"/>
    <w:rsid w:val="00D409C1"/>
    <w:rsid w:val="00D77340"/>
    <w:rsid w:val="00D81FCA"/>
    <w:rsid w:val="00D842EE"/>
    <w:rsid w:val="00D8546D"/>
    <w:rsid w:val="00DA0A8B"/>
    <w:rsid w:val="00DF543A"/>
    <w:rsid w:val="00E170F3"/>
    <w:rsid w:val="00E91919"/>
    <w:rsid w:val="00EF3234"/>
    <w:rsid w:val="00F4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6FF2C"/>
  <w15:chartTrackingRefBased/>
  <w15:docId w15:val="{157FC807-3AAA-47BC-82A2-FA62EAAF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88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D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70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7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031C2-F64D-4A29-95E2-F1F4D074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 正</dc:creator>
  <cp:keywords/>
  <dc:description/>
  <cp:lastModifiedBy>純 正</cp:lastModifiedBy>
  <cp:revision>3</cp:revision>
  <cp:lastPrinted>2025-07-30T07:54:00Z</cp:lastPrinted>
  <dcterms:created xsi:type="dcterms:W3CDTF">2025-07-31T01:17:00Z</dcterms:created>
  <dcterms:modified xsi:type="dcterms:W3CDTF">2025-07-31T01:24:00Z</dcterms:modified>
</cp:coreProperties>
</file>